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Pr="00F8499E" w:rsidRDefault="00FC6F95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  <w:r>
        <w:t>6</w:t>
      </w:r>
      <w:r w:rsidR="005F6A4B">
        <w:t>. 1</w:t>
      </w:r>
      <w:r>
        <w:t>1</w:t>
      </w:r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25</w:t>
      </w:r>
      <w:r w:rsidR="00950790" w:rsidRPr="00950790">
        <w:rPr>
          <w:rFonts w:ascii="DINNextLTPro-Bold" w:hAnsi="DINNextLTPro-Bold" w:cs="DINNextLTPro-Bold"/>
          <w:b/>
          <w:bCs/>
          <w:color w:val="00000A"/>
        </w:rPr>
        <w:t xml:space="preserve"> </w:t>
      </w:r>
    </w:p>
    <w:p w:rsidR="00AF0618" w:rsidRDefault="00AF0618" w:rsidP="00585851">
      <w:pPr>
        <w:spacing w:after="160" w:line="276" w:lineRule="auto"/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</w:pPr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Národní technické muzeum</w:t>
      </w:r>
      <w:r w:rsidR="00471483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</w:t>
      </w:r>
      <w:r w:rsidR="00471483" w:rsidRPr="00471483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otevírá výstavu věnovanou legendárním motocykl</w:t>
      </w:r>
      <w:r w:rsidR="002A1BB2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ům</w:t>
      </w:r>
      <w:r w:rsidR="00471483" w:rsidRPr="00471483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Čechie–</w:t>
      </w:r>
      <w:proofErr w:type="spellStart"/>
      <w:r w:rsidR="00471483" w:rsidRPr="00471483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Böhmerland</w:t>
      </w:r>
      <w:proofErr w:type="spellEnd"/>
      <w:r w:rsidR="005E6C04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</w:t>
      </w:r>
    </w:p>
    <w:p w:rsidR="00471483" w:rsidRPr="00EA09F9" w:rsidRDefault="00471483" w:rsidP="00585851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</w:p>
    <w:p w:rsidR="00D1321A" w:rsidRPr="00D1321A" w:rsidRDefault="00D84616" w:rsidP="00291F18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Národní technické muzeum otevírá výstavu </w:t>
      </w:r>
      <w:r w:rsidR="00EA09F9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„</w:t>
      </w:r>
      <w:proofErr w:type="spellStart"/>
      <w:r w:rsidR="00EA09F9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Böhmerland</w:t>
      </w:r>
      <w:proofErr w:type="spellEnd"/>
      <w:r w:rsidR="00EA09F9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 nebo Čechie. Nejdelší motocykl na světě“, kterou připravilo při</w:t>
      </w: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příležitosti </w:t>
      </w:r>
      <w:r w:rsidR="00EA09F9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s</w:t>
      </w:r>
      <w:r w:rsidR="00A878AD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toletého výročí</w:t>
      </w: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zahájení výroby</w:t>
      </w:r>
      <w:r w:rsidR="00126E4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těchto motocyklů</w:t>
      </w: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Tyto výjimečné stroje, považované za nejdelší </w:t>
      </w:r>
      <w:r w:rsidR="0007423E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sériově vyráběné </w:t>
      </w: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motocykly na světě, vznikaly od roku 1925 ve Šluknovském výběžku pod vedením konstruktéra </w:t>
      </w:r>
      <w:proofErr w:type="spellStart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Albina</w:t>
      </w:r>
      <w:proofErr w:type="spellEnd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proofErr w:type="spellStart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Liebische</w:t>
      </w:r>
      <w:proofErr w:type="spellEnd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Výstava nabídne </w:t>
      </w:r>
      <w:r w:rsidR="00A878AD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první </w:t>
      </w: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ucelený přehled všech vyráběných typů – návštěvníci zde uvidí tři desítky motocyklů značky Čechie–</w:t>
      </w:r>
      <w:proofErr w:type="spellStart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Böhmerland</w:t>
      </w:r>
      <w:proofErr w:type="spellEnd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, včetně unikátních replik nedochovaných prototypů.</w:t>
      </w:r>
    </w:p>
    <w:p w:rsidR="00D1321A" w:rsidRDefault="00D1321A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D1321A" w:rsidRDefault="00291F18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F42B59" w:rsidRPr="00291F18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„</w:t>
      </w:r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Výstava </w:t>
      </w:r>
      <w:r w:rsidR="00F42B59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návštěvníkům představí třicet zcela unikátních a sběratelsky velmi ceněných motocyklů Čechie–</w:t>
      </w:r>
      <w:proofErr w:type="spellStart"/>
      <w:r w:rsidR="00F42B59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Böhmerland</w:t>
      </w:r>
      <w:proofErr w:type="spellEnd"/>
      <w:r w:rsidR="00F42B59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, a to při příležitosti stoletého výročí zahájení výroby této značky. 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V tomto rozsahu a množství nebyly 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motocykly Čechie–</w:t>
      </w:r>
      <w:proofErr w:type="spellStart"/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Böhmerland</w:t>
      </w:r>
      <w:proofErr w:type="spellEnd"/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ještě nikdy prezentovány. Výstava</w:t>
      </w:r>
      <w:r w:rsidR="00F42B59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je také připomínkou zajímavé a barvité historie drobných výrobců v našem německy hovořícím pohraničí v meziválečném období</w:t>
      </w:r>
      <w:r w:rsidR="00D1321A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</w:t>
      </w:r>
      <w:r w:rsidR="00F42B59" w:rsidRPr="00291F18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“ </w:t>
      </w:r>
      <w:r w:rsidR="00F42B59" w:rsidRPr="009819EA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uvedl generální ředitel NTM Karel Ksandr.</w:t>
      </w:r>
    </w:p>
    <w:p w:rsidR="00D1321A" w:rsidRDefault="00D1321A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D1321A" w:rsidRDefault="00291F18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5A0ADE" w:rsidRPr="00291F18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„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Pozoruhodný je např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.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motocykl zapůjčený z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 drážďanského muzea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, protože je to stroj s kompletně dokumentovanou 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historií. 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V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 r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oce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1935 ho koupil polic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ejní 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strážmistr z 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N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ejdku, kt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erý byl po válce vystěhován do Německa, ale podařilo se mu tam dostat i svůj oblíbený </w:t>
      </w:r>
      <w:proofErr w:type="spellStart"/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Böhmerland</w:t>
      </w:r>
      <w:proofErr w:type="spellEnd"/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. Ze zahr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aničních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sbírek 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pochází celkem třetina vystavených motocyklů. N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ejvíce z</w:t>
      </w:r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 nich je z R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akouska od pana Ewalda </w:t>
      </w:r>
      <w:proofErr w:type="spellStart"/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Schoissengeiera</w:t>
      </w:r>
      <w:proofErr w:type="spellEnd"/>
      <w:r w:rsidR="005A0ADE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. T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ento </w:t>
      </w:r>
      <w:r w:rsidR="001A0444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milovník Čechií–</w:t>
      </w:r>
      <w:proofErr w:type="spellStart"/>
      <w:r w:rsidR="001A0444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Böhmerland</w:t>
      </w:r>
      <w:proofErr w:type="spellEnd"/>
      <w:r w:rsidR="001A0444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znovu vyrobil </w:t>
      </w:r>
      <w:r w:rsidR="001A0444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jejich </w:t>
      </w:r>
      <w:r w:rsidR="009819EA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nedochované prototypy</w:t>
      </w:r>
      <w:r w:rsidR="005A0ADE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</w:t>
      </w:r>
      <w:r w:rsidR="001A0444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“</w:t>
      </w:r>
      <w:r w:rsidR="005A0ADE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90668C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doplnil autor výstavy a ředitel Muzea Dopravy NTM Arnošt Nezm</w:t>
      </w:r>
      <w:r w:rsidR="009819EA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e</w:t>
      </w:r>
      <w:r w:rsidR="0090668C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škal</w:t>
      </w:r>
      <w:r w:rsidR="002A1BB2" w:rsidRPr="005A0AD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.</w:t>
      </w:r>
    </w:p>
    <w:p w:rsidR="00D1321A" w:rsidRDefault="00D1321A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D1321A" w:rsidRDefault="00291F18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2A1BB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„</w:t>
      </w:r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Základní ambicí </w:t>
      </w:r>
      <w:proofErr w:type="spellStart"/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Albina</w:t>
      </w:r>
      <w:proofErr w:type="spellEnd"/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Huga </w:t>
      </w:r>
      <w:proofErr w:type="spellStart"/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>Liebische</w:t>
      </w:r>
      <w:proofErr w:type="spellEnd"/>
      <w:r w:rsidR="002A1BB2" w:rsidRPr="00D1321A"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/>
        </w:rPr>
        <w:t xml:space="preserve"> bylo vyrábět spolehlivý, pohodlný a bezpečný stroj pro rozbité československé silnice, který doveze odvážnějšího majitele přes Alpy až k jižním mořím. Konstruktér se pokládal za technického inovátora a vizionáře, osamělého tanečníka, Prométhea, který dal lidstvu ideální stroj a musí za to strpět úšklebky od zapšklých tradicionalistů</w:t>
      </w:r>
      <w:r w:rsidR="002A1BB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,“ vysvětlil spoluautor výstavy Jan Němec</w:t>
      </w:r>
      <w:r w:rsidR="001305B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, </w:t>
      </w:r>
      <w:r w:rsidR="001305BD" w:rsidRPr="001A0444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ředitel Státního okresního archivu v Děčíně.</w:t>
      </w:r>
    </w:p>
    <w:p w:rsidR="00D1321A" w:rsidRDefault="00D1321A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471483" w:rsidRDefault="002A1BB2" w:rsidP="00291F18">
      <w:pPr>
        <w:spacing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Až do počátku války vzniklo přibližně 750 těchto motocyklů vynikajících neobvyklou konstrukcí i</w:t>
      </w:r>
      <w:r w:rsidR="00A878A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vzhledem. Již v</w:t>
      </w:r>
      <w:r w:rsidR="001305B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době vzniku šlo o raritu</w:t>
      </w:r>
      <w:r w:rsidR="00E866B4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a p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ostupem času se motocykly Čechie–</w:t>
      </w:r>
      <w:proofErr w:type="spellStart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Böhmerland</w:t>
      </w:r>
      <w:proofErr w:type="spellEnd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zařadily mezi nejvyhledávanější historická vozidla. Výstava mapuje historii motocyklů Čechie–</w:t>
      </w:r>
      <w:proofErr w:type="spellStart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Böhmerland</w:t>
      </w:r>
      <w:proofErr w:type="spellEnd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 představí všechny vyráběné typy. Vedle původních dochovaných strojů budou, u nás vůbec poprvé, vystaveny i nově zrekonstruované kopie nedochovaných prototypů motocyklů této značky. Jako je například dvouválcová sedmistovka model Sudet nebo dokonalé kopie čtyřmístného stroje Čechie–</w:t>
      </w:r>
      <w:proofErr w:type="spellStart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lastRenderedPageBreak/>
        <w:t>Böhmerland</w:t>
      </w:r>
      <w:proofErr w:type="spellEnd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, vskutku nejdelšího motocyklu na svět</w:t>
      </w:r>
      <w:r w:rsidR="0007423E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ě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. Bude připomenut i zánik firmy, odsun jejího zakladatele do Německa a jeho marné pokusy o</w:t>
      </w:r>
      <w:r w:rsidR="00A878A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obnovení výroby v Bavorsku. </w:t>
      </w:r>
      <w:r w:rsidR="00E866B4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oučástí historie této značky je mimořádný zájem muzeí a sběratelů o</w:t>
      </w:r>
      <w:r w:rsidR="00A878A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stroje Čechie–</w:t>
      </w:r>
      <w:proofErr w:type="spellStart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Böhmerland</w:t>
      </w:r>
      <w:bookmarkStart w:id="0" w:name="_GoBack"/>
      <w:bookmarkEnd w:id="0"/>
      <w:proofErr w:type="spellEnd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nebo též vznik Čechie–</w:t>
      </w:r>
      <w:proofErr w:type="spellStart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Böhmerland</w:t>
      </w:r>
      <w:proofErr w:type="spellEnd"/>
      <w:r w:rsidR="00471483" w:rsidRPr="00471483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klubu, který pořádá každoroční sraz těchto motocyklů a usiluje o zmapování jejich historie.</w:t>
      </w:r>
      <w:r w:rsidR="00A878A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I to výstava ve zkratce představí. </w:t>
      </w:r>
    </w:p>
    <w:p w:rsidR="00291F18" w:rsidRPr="00471483" w:rsidRDefault="00291F18" w:rsidP="00291F18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471483" w:rsidRPr="00D1321A" w:rsidRDefault="00471483" w:rsidP="00291F18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Výstava „</w:t>
      </w:r>
      <w:proofErr w:type="spellStart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Böhmerland</w:t>
      </w:r>
      <w:proofErr w:type="spellEnd"/>
      <w:r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 nebo Čechie. Nejdelší motocykl na světě“ potrvá od </w:t>
      </w:r>
      <w:r w:rsidR="00EA09F9" w:rsidRPr="00D1321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7. listopadu 2025 do 22. března 2026. </w:t>
      </w:r>
    </w:p>
    <w:p w:rsidR="00471483" w:rsidRDefault="00471483" w:rsidP="00471483">
      <w:pPr>
        <w:spacing w:line="276" w:lineRule="auto"/>
        <w:jc w:val="both"/>
        <w:rPr>
          <w:rFonts w:cs="Calibri"/>
          <w:u w:val="single" w:color="000000"/>
        </w:rPr>
      </w:pPr>
    </w:p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  <w:t xml:space="preserve">Oddělení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FE4" w:rsidRDefault="009A0FE4">
      <w:r>
        <w:separator/>
      </w:r>
    </w:p>
  </w:endnote>
  <w:endnote w:type="continuationSeparator" w:id="0">
    <w:p w:rsidR="009A0FE4" w:rsidRDefault="009A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>: Bc. Jan Duda | jan.duda@ntm.cz | +420 770 121 917</w:t>
    </w:r>
  </w:p>
  <w:p w:rsidR="00521CD1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FE4" w:rsidRDefault="009A0FE4">
      <w:r>
        <w:rPr>
          <w:color w:val="000000"/>
        </w:rPr>
        <w:separator/>
      </w:r>
    </w:p>
  </w:footnote>
  <w:footnote w:type="continuationSeparator" w:id="0">
    <w:p w:rsidR="009A0FE4" w:rsidRDefault="009A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521CD1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3409F"/>
    <w:rsid w:val="000506DB"/>
    <w:rsid w:val="0007423E"/>
    <w:rsid w:val="000745C7"/>
    <w:rsid w:val="00087322"/>
    <w:rsid w:val="00096B48"/>
    <w:rsid w:val="000A0016"/>
    <w:rsid w:val="000B6F80"/>
    <w:rsid w:val="000D2076"/>
    <w:rsid w:val="000D359F"/>
    <w:rsid w:val="000F0602"/>
    <w:rsid w:val="000F293A"/>
    <w:rsid w:val="00110CB5"/>
    <w:rsid w:val="00126E4C"/>
    <w:rsid w:val="001305BD"/>
    <w:rsid w:val="001500FD"/>
    <w:rsid w:val="00150EF0"/>
    <w:rsid w:val="0015659A"/>
    <w:rsid w:val="0017476A"/>
    <w:rsid w:val="001A0444"/>
    <w:rsid w:val="001A36DC"/>
    <w:rsid w:val="001D796C"/>
    <w:rsid w:val="00237B1F"/>
    <w:rsid w:val="002656FC"/>
    <w:rsid w:val="00275EEA"/>
    <w:rsid w:val="00291F18"/>
    <w:rsid w:val="002A1BB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60A"/>
    <w:rsid w:val="00323204"/>
    <w:rsid w:val="00334D9B"/>
    <w:rsid w:val="00355F35"/>
    <w:rsid w:val="003603C1"/>
    <w:rsid w:val="00365577"/>
    <w:rsid w:val="00371388"/>
    <w:rsid w:val="00374436"/>
    <w:rsid w:val="00382628"/>
    <w:rsid w:val="00383957"/>
    <w:rsid w:val="003A5B61"/>
    <w:rsid w:val="0040671D"/>
    <w:rsid w:val="0043539D"/>
    <w:rsid w:val="00443E9F"/>
    <w:rsid w:val="004468B2"/>
    <w:rsid w:val="00450DEA"/>
    <w:rsid w:val="00451B41"/>
    <w:rsid w:val="00471483"/>
    <w:rsid w:val="0047382B"/>
    <w:rsid w:val="00475A22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32DED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5C8E"/>
    <w:rsid w:val="005E6C04"/>
    <w:rsid w:val="005F20A1"/>
    <w:rsid w:val="005F258A"/>
    <w:rsid w:val="005F6A4B"/>
    <w:rsid w:val="00617C25"/>
    <w:rsid w:val="006359B0"/>
    <w:rsid w:val="00665A21"/>
    <w:rsid w:val="00677B30"/>
    <w:rsid w:val="006D4DAA"/>
    <w:rsid w:val="006D5C31"/>
    <w:rsid w:val="006F0EA1"/>
    <w:rsid w:val="006F42E9"/>
    <w:rsid w:val="00705CF0"/>
    <w:rsid w:val="0072291F"/>
    <w:rsid w:val="00726D3B"/>
    <w:rsid w:val="00765503"/>
    <w:rsid w:val="0077685E"/>
    <w:rsid w:val="007918C7"/>
    <w:rsid w:val="007A6154"/>
    <w:rsid w:val="007B033A"/>
    <w:rsid w:val="007B0D53"/>
    <w:rsid w:val="007B3F4B"/>
    <w:rsid w:val="007D38D8"/>
    <w:rsid w:val="007E22FB"/>
    <w:rsid w:val="008002FF"/>
    <w:rsid w:val="00814FFF"/>
    <w:rsid w:val="0085088F"/>
    <w:rsid w:val="008530CD"/>
    <w:rsid w:val="00864FD9"/>
    <w:rsid w:val="00867A03"/>
    <w:rsid w:val="008945A3"/>
    <w:rsid w:val="008C4377"/>
    <w:rsid w:val="008D3294"/>
    <w:rsid w:val="0090668C"/>
    <w:rsid w:val="00950790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401E"/>
    <w:rsid w:val="009B0463"/>
    <w:rsid w:val="009B2C15"/>
    <w:rsid w:val="009B2E31"/>
    <w:rsid w:val="009C252D"/>
    <w:rsid w:val="009C4B30"/>
    <w:rsid w:val="009D0AE1"/>
    <w:rsid w:val="009D6452"/>
    <w:rsid w:val="00A06FBE"/>
    <w:rsid w:val="00A64B3F"/>
    <w:rsid w:val="00A718A4"/>
    <w:rsid w:val="00A73A42"/>
    <w:rsid w:val="00A878AD"/>
    <w:rsid w:val="00A92E27"/>
    <w:rsid w:val="00AA375A"/>
    <w:rsid w:val="00AA3D39"/>
    <w:rsid w:val="00AC2F3C"/>
    <w:rsid w:val="00AE052D"/>
    <w:rsid w:val="00AF0618"/>
    <w:rsid w:val="00AF0A22"/>
    <w:rsid w:val="00AF50DF"/>
    <w:rsid w:val="00AF5724"/>
    <w:rsid w:val="00B058B2"/>
    <w:rsid w:val="00B20A6D"/>
    <w:rsid w:val="00B3493E"/>
    <w:rsid w:val="00B51531"/>
    <w:rsid w:val="00B54964"/>
    <w:rsid w:val="00BA1A98"/>
    <w:rsid w:val="00BA32D3"/>
    <w:rsid w:val="00BA4E7A"/>
    <w:rsid w:val="00BB1391"/>
    <w:rsid w:val="00BD75AB"/>
    <w:rsid w:val="00BE058A"/>
    <w:rsid w:val="00BE78A8"/>
    <w:rsid w:val="00BF2EEF"/>
    <w:rsid w:val="00BF325E"/>
    <w:rsid w:val="00C21DED"/>
    <w:rsid w:val="00C37823"/>
    <w:rsid w:val="00C46340"/>
    <w:rsid w:val="00C83547"/>
    <w:rsid w:val="00C8582C"/>
    <w:rsid w:val="00C93F02"/>
    <w:rsid w:val="00CA169E"/>
    <w:rsid w:val="00CB62F5"/>
    <w:rsid w:val="00CB7D5E"/>
    <w:rsid w:val="00CC68E2"/>
    <w:rsid w:val="00CD1B55"/>
    <w:rsid w:val="00D1321A"/>
    <w:rsid w:val="00D241F5"/>
    <w:rsid w:val="00D2565C"/>
    <w:rsid w:val="00D25FB4"/>
    <w:rsid w:val="00D43C38"/>
    <w:rsid w:val="00D466A3"/>
    <w:rsid w:val="00D733F1"/>
    <w:rsid w:val="00D748B2"/>
    <w:rsid w:val="00D84616"/>
    <w:rsid w:val="00DA0885"/>
    <w:rsid w:val="00DA4970"/>
    <w:rsid w:val="00DE7208"/>
    <w:rsid w:val="00E011EA"/>
    <w:rsid w:val="00E012C7"/>
    <w:rsid w:val="00E2765E"/>
    <w:rsid w:val="00E30CF0"/>
    <w:rsid w:val="00E603AB"/>
    <w:rsid w:val="00E813AC"/>
    <w:rsid w:val="00E866B4"/>
    <w:rsid w:val="00EA09F9"/>
    <w:rsid w:val="00EB27A5"/>
    <w:rsid w:val="00EB5370"/>
    <w:rsid w:val="00EB6296"/>
    <w:rsid w:val="00EB6834"/>
    <w:rsid w:val="00ED48F0"/>
    <w:rsid w:val="00EE1B4A"/>
    <w:rsid w:val="00EE38E4"/>
    <w:rsid w:val="00EF0727"/>
    <w:rsid w:val="00F00485"/>
    <w:rsid w:val="00F04F3E"/>
    <w:rsid w:val="00F42B59"/>
    <w:rsid w:val="00F5596A"/>
    <w:rsid w:val="00F67B98"/>
    <w:rsid w:val="00F8499E"/>
    <w:rsid w:val="00F93F0F"/>
    <w:rsid w:val="00FA0C02"/>
    <w:rsid w:val="00FA16F0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1257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3</cp:revision>
  <cp:lastPrinted>2025-04-14T15:40:00Z</cp:lastPrinted>
  <dcterms:created xsi:type="dcterms:W3CDTF">2025-11-06T07:04:00Z</dcterms:created>
  <dcterms:modified xsi:type="dcterms:W3CDTF">2025-11-06T07:06:00Z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